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proofErr w:type="spellStart"/>
            <w:r>
              <w:rPr>
                <w:rFonts w:ascii="Arial" w:hAnsi="Arial"/>
                <w:b/>
                <w:sz w:val="20"/>
              </w:rPr>
              <w:t>Safety</w:t>
            </w:r>
            <w:proofErr w:type="spellEnd"/>
            <w:r>
              <w:rPr>
                <w:rFonts w:ascii="Arial" w:hAnsi="Arial"/>
                <w:b/>
                <w:sz w:val="20"/>
              </w:rPr>
              <w:t xml:space="preserve">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Pr>
                <w:rFonts w:ascii="Arial" w:hAnsi="Arial"/>
                <w:sz w:val="20"/>
              </w:rPr>
              <w:t>Numéro de décision :</w:t>
            </w:r>
          </w:p>
        </w:tc>
        <w:tc>
          <w:tcPr>
            <w:tcW w:w="2552" w:type="dxa"/>
            <w:tcMar>
              <w:top w:w="113" w:type="dxa"/>
            </w:tcMar>
          </w:tcPr>
          <w:p w14:paraId="357DCD51" w14:textId="02246F1E" w:rsidR="00FE7569" w:rsidRPr="00047508" w:rsidRDefault="00FE7569">
            <w:pPr>
              <w:rPr>
                <w:rFonts w:ascii="Arial" w:hAnsi="Arial" w:cs="Arial"/>
                <w:sz w:val="20"/>
                <w:szCs w:val="20"/>
              </w:rPr>
            </w:pPr>
            <w:r>
              <w:rPr>
                <w:rFonts w:ascii="Arial" w:hAnsi="Arial"/>
                <w:sz w:val="20"/>
              </w:rPr>
              <w:t>2025-13</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Pr>
                <w:rFonts w:ascii="Arial" w:hAnsi="Arial"/>
                <w:sz w:val="20"/>
              </w:rPr>
              <w:t>Objet :</w:t>
            </w:r>
          </w:p>
        </w:tc>
        <w:tc>
          <w:tcPr>
            <w:tcW w:w="6999" w:type="dxa"/>
            <w:gridSpan w:val="3"/>
            <w:tcMar>
              <w:top w:w="113" w:type="dxa"/>
            </w:tcMar>
          </w:tcPr>
          <w:p w14:paraId="486A659B" w14:textId="4AECCAC3" w:rsidR="00FE7569" w:rsidRPr="00047508" w:rsidRDefault="00FB1295">
            <w:pPr>
              <w:rPr>
                <w:rFonts w:ascii="Arial" w:hAnsi="Arial" w:cs="Arial"/>
                <w:sz w:val="20"/>
                <w:szCs w:val="20"/>
              </w:rPr>
            </w:pPr>
            <w:r>
              <w:rPr>
                <w:rFonts w:ascii="Arial" w:hAnsi="Arial"/>
                <w:sz w:val="20"/>
              </w:rPr>
              <w:t>Décision « Évaluation des Journées de travail »</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Pr>
                <w:rFonts w:ascii="Arial" w:hAnsi="Arial"/>
                <w:sz w:val="20"/>
              </w:rPr>
              <w:t>Date :</w:t>
            </w:r>
          </w:p>
        </w:tc>
        <w:tc>
          <w:tcPr>
            <w:tcW w:w="2552" w:type="dxa"/>
            <w:tcBorders>
              <w:bottom w:val="single" w:sz="4" w:space="0" w:color="auto"/>
            </w:tcBorders>
            <w:tcMar>
              <w:top w:w="113" w:type="dxa"/>
            </w:tcMar>
          </w:tcPr>
          <w:p w14:paraId="58C1BE33" w14:textId="4DD7B8A3" w:rsidR="00FE7569" w:rsidRPr="00047508" w:rsidRDefault="00FE7569">
            <w:pPr>
              <w:rPr>
                <w:rFonts w:ascii="Arial" w:hAnsi="Arial" w:cs="Arial"/>
                <w:sz w:val="20"/>
                <w:szCs w:val="20"/>
              </w:rPr>
            </w:pPr>
            <w:r>
              <w:rPr>
                <w:rFonts w:ascii="Arial" w:hAnsi="Arial"/>
                <w:sz w:val="20"/>
              </w:rPr>
              <w:t>24-09-2025</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Pr>
                <w:rFonts w:ascii="Arial" w:hAnsi="Arial"/>
                <w:sz w:val="20"/>
              </w:rPr>
              <w:t>Mise en œuvre :</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Pr>
                <w:rFonts w:ascii="Arial" w:hAnsi="Arial"/>
                <w:sz w:val="20"/>
              </w:rPr>
              <w:t>publication sur le site web et dans le document d’interprétation pour 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Pr>
                <w:rFonts w:ascii="Arial" w:hAnsi="Arial"/>
                <w:sz w:val="20"/>
              </w:rPr>
              <w:t>Date d’entrée en vigueur :</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sz w:val="20"/>
              </w:rPr>
              <w:t xml:space="preserve">immédiatement </w:t>
            </w:r>
          </w:p>
        </w:tc>
      </w:tr>
    </w:tbl>
    <w:p w14:paraId="7EE34978" w14:textId="77777777" w:rsidR="00611D15" w:rsidRDefault="00611D15" w:rsidP="00611D15"/>
    <w:p w14:paraId="084D0785" w14:textId="77777777" w:rsidR="000C371A" w:rsidRPr="0009216C" w:rsidRDefault="000C371A" w:rsidP="000C371A">
      <w:pPr>
        <w:spacing w:after="0"/>
        <w:rPr>
          <w:color w:val="009691"/>
        </w:rPr>
      </w:pPr>
      <w:r w:rsidRPr="0009216C">
        <w:rPr>
          <w:color w:val="009691"/>
        </w:rPr>
        <w:t>Contexte ;</w:t>
      </w:r>
    </w:p>
    <w:p w14:paraId="762A05E3" w14:textId="5D1354CC" w:rsidR="006322DC" w:rsidRPr="0009216C" w:rsidRDefault="00FA30E6" w:rsidP="006322DC">
      <w:pPr>
        <w:spacing w:after="0"/>
      </w:pPr>
      <w:r w:rsidRPr="0009216C">
        <w:t>Le marché a envoyé à NEN plusieurs signaux concernant le nombre de journées de travail nécessaires pour un audit pour la SCL.</w:t>
      </w:r>
    </w:p>
    <w:p w14:paraId="031F4690" w14:textId="53164589" w:rsidR="00761D9A" w:rsidRPr="0009216C" w:rsidRDefault="00761D9A" w:rsidP="006322DC">
      <w:pPr>
        <w:spacing w:after="0"/>
      </w:pPr>
      <w:r w:rsidRPr="0009216C">
        <w:t xml:space="preserve">Sur cette base, le </w:t>
      </w:r>
      <w:proofErr w:type="spellStart"/>
      <w:r w:rsidRPr="0009216C">
        <w:t>CdE</w:t>
      </w:r>
      <w:proofErr w:type="spellEnd"/>
      <w:r w:rsidRPr="0009216C">
        <w:t xml:space="preserve"> de la SCL a demandé à un Groupe de travail d'examiner les tableaux des journées de travail de la SCL (tableaux 2 et 3) et, si nécessaire, d'élaborer une proposition d'ajustement des journées de travail.</w:t>
      </w:r>
    </w:p>
    <w:p w14:paraId="284B757B" w14:textId="77777777" w:rsidR="00035827" w:rsidRPr="0009216C" w:rsidRDefault="00035827" w:rsidP="000503D2">
      <w:pPr>
        <w:spacing w:after="0"/>
      </w:pPr>
    </w:p>
    <w:p w14:paraId="3D43F18F" w14:textId="4AB8795E" w:rsidR="00035827" w:rsidRPr="0009216C" w:rsidRDefault="006D63AF" w:rsidP="000503D2">
      <w:pPr>
        <w:spacing w:after="0"/>
        <w:rPr>
          <w:color w:val="009691"/>
        </w:rPr>
      </w:pPr>
      <w:r w:rsidRPr="0009216C">
        <w:rPr>
          <w:color w:val="009691"/>
        </w:rPr>
        <w:t>Prise en considération ;</w:t>
      </w:r>
    </w:p>
    <w:p w14:paraId="57FE52C6" w14:textId="77777777" w:rsidR="0068096E" w:rsidRPr="0009216C" w:rsidRDefault="00CB09AF" w:rsidP="000503D2">
      <w:pPr>
        <w:spacing w:after="0"/>
      </w:pPr>
      <w:r w:rsidRPr="0009216C">
        <w:t xml:space="preserve">Le </w:t>
      </w:r>
      <w:proofErr w:type="spellStart"/>
      <w:r w:rsidRPr="0009216C">
        <w:t>CdE</w:t>
      </w:r>
      <w:proofErr w:type="spellEnd"/>
      <w:r w:rsidRPr="0009216C">
        <w:t xml:space="preserve"> a pris note de l'analyse détaillée réalisée par le Groupe de travail, dans laquelle deux scénarios ont été élaborés/calculés.</w:t>
      </w:r>
    </w:p>
    <w:p w14:paraId="55A19434" w14:textId="54C1E181" w:rsidR="005D74AD" w:rsidRPr="0009216C" w:rsidRDefault="005D74AD" w:rsidP="00DC20DB">
      <w:pPr>
        <w:spacing w:after="0"/>
        <w:rPr>
          <w:u w:val="single"/>
        </w:rPr>
      </w:pPr>
      <w:r w:rsidRPr="0009216C">
        <w:rPr>
          <w:u w:val="single"/>
        </w:rPr>
        <w:t>Scénario 1 :</w:t>
      </w:r>
    </w:p>
    <w:p w14:paraId="32BF6326" w14:textId="77777777" w:rsidR="005D74AD" w:rsidRPr="0009216C" w:rsidRDefault="005D74AD" w:rsidP="00DC20DB">
      <w:pPr>
        <w:pStyle w:val="Lijstalinea"/>
        <w:numPr>
          <w:ilvl w:val="0"/>
          <w:numId w:val="13"/>
        </w:numPr>
        <w:spacing w:after="0" w:line="257" w:lineRule="auto"/>
        <w:ind w:left="284" w:hanging="284"/>
        <w:rPr>
          <w:rFonts w:eastAsia="Arial" w:cs="Arial"/>
        </w:rPr>
      </w:pPr>
      <w:r w:rsidRPr="0009216C">
        <w:t>temps de base selon l’ampleur, la taille d'une organisation, mesurée en nombre de personnes employées (personnel salarié et intérimaire)</w:t>
      </w:r>
    </w:p>
    <w:p w14:paraId="734B7946" w14:textId="77777777" w:rsidR="005D74AD" w:rsidRPr="0009216C" w:rsidRDefault="005D74AD" w:rsidP="00DC20DB">
      <w:pPr>
        <w:pStyle w:val="Lijstalinea"/>
        <w:numPr>
          <w:ilvl w:val="0"/>
          <w:numId w:val="13"/>
        </w:numPr>
        <w:spacing w:after="0" w:line="257" w:lineRule="auto"/>
        <w:ind w:left="284" w:hanging="284"/>
        <w:rPr>
          <w:rFonts w:eastAsia="Arial" w:cs="Arial"/>
        </w:rPr>
      </w:pPr>
      <w:r w:rsidRPr="0009216C">
        <w:t xml:space="preserve">temps supplémentaire en fonction de la complexité de l'organisation (diversité du champ d'application, nombre de filiales, nombre d'entités, nombre de projets) </w:t>
      </w:r>
      <w:r w:rsidRPr="0009216C">
        <w:br/>
        <w:t xml:space="preserve">et </w:t>
      </w:r>
    </w:p>
    <w:p w14:paraId="317875C8" w14:textId="77777777" w:rsidR="005D74AD" w:rsidRPr="0009216C" w:rsidRDefault="005D74AD" w:rsidP="00DC20DB">
      <w:pPr>
        <w:pStyle w:val="Lijstalinea"/>
        <w:numPr>
          <w:ilvl w:val="0"/>
          <w:numId w:val="13"/>
        </w:numPr>
        <w:spacing w:after="0" w:line="257" w:lineRule="auto"/>
        <w:ind w:left="284" w:hanging="284"/>
        <w:rPr>
          <w:rFonts w:eastAsia="Arial" w:cs="Arial"/>
        </w:rPr>
      </w:pPr>
      <w:r w:rsidRPr="0009216C">
        <w:t>temps supplémentaire pour inclure la chaîne (nombre et nature des organisations collaboratrices, réalisation en interne par rapport à l'externalisation, caractéristiques des organisations/personnes contractées/engagées (par exemple, pourcentage de locuteurs non natifs dans l'organisation).</w:t>
      </w:r>
    </w:p>
    <w:p w14:paraId="754B3D2A" w14:textId="77777777" w:rsidR="005D74AD" w:rsidRPr="0009216C" w:rsidRDefault="005D74AD" w:rsidP="005D74AD">
      <w:pPr>
        <w:pStyle w:val="Lijstalinea"/>
        <w:spacing w:after="0" w:line="257" w:lineRule="auto"/>
        <w:ind w:left="780" w:hanging="360"/>
        <w:rPr>
          <w:rFonts w:eastAsia="Arial" w:cs="Arial"/>
        </w:rPr>
      </w:pPr>
    </w:p>
    <w:p w14:paraId="62766759" w14:textId="77777777" w:rsidR="005D74AD" w:rsidRPr="0009216C" w:rsidRDefault="005D74AD" w:rsidP="005D74AD">
      <w:pPr>
        <w:spacing w:after="0" w:line="257" w:lineRule="auto"/>
        <w:rPr>
          <w:rFonts w:eastAsia="Arial" w:cs="Arial"/>
        </w:rPr>
      </w:pPr>
      <w:r w:rsidRPr="0009216C">
        <w:t>Le point de départ du temps supplémentaire était l'impact des facteurs sur l'attitude et le comportement, avec une classification des impacts faible, moyenne et élevée.</w:t>
      </w:r>
    </w:p>
    <w:p w14:paraId="45253E47" w14:textId="77777777" w:rsidR="00C32B5C" w:rsidRPr="0009216C" w:rsidRDefault="00C32B5C" w:rsidP="005D74AD">
      <w:pPr>
        <w:spacing w:after="0" w:line="257" w:lineRule="auto"/>
        <w:rPr>
          <w:rFonts w:eastAsia="Arial" w:cs="Arial"/>
        </w:rPr>
      </w:pPr>
    </w:p>
    <w:p w14:paraId="576F9050" w14:textId="77777777" w:rsidR="00484957" w:rsidRPr="0009216C" w:rsidRDefault="00C32B5C" w:rsidP="005D74AD">
      <w:pPr>
        <w:spacing w:after="0" w:line="257" w:lineRule="auto"/>
        <w:rPr>
          <w:rFonts w:eastAsia="Arial" w:cs="Arial"/>
          <w:u w:val="single"/>
        </w:rPr>
      </w:pPr>
      <w:r w:rsidRPr="0009216C">
        <w:rPr>
          <w:u w:val="single"/>
        </w:rPr>
        <w:t>Conclusion du scénario 1 :</w:t>
      </w:r>
    </w:p>
    <w:p w14:paraId="4781A5CD" w14:textId="77777777" w:rsidR="00BA3D1F" w:rsidRPr="0009216C" w:rsidRDefault="00484957" w:rsidP="005D74AD">
      <w:pPr>
        <w:spacing w:after="0" w:line="257" w:lineRule="auto"/>
        <w:rPr>
          <w:rFonts w:eastAsia="Arial" w:cs="Arial"/>
        </w:rPr>
      </w:pPr>
      <w:r w:rsidRPr="0009216C">
        <w:t>L'exercice de calcul est délicat, en particulier le calcul du temps de base.</w:t>
      </w:r>
    </w:p>
    <w:p w14:paraId="7A113197" w14:textId="079D8FA0" w:rsidR="00C32B5C" w:rsidRPr="0009216C" w:rsidRDefault="001125BB" w:rsidP="005D74AD">
      <w:pPr>
        <w:spacing w:after="0" w:line="257" w:lineRule="auto"/>
        <w:rPr>
          <w:rFonts w:eastAsia="Arial" w:cs="Arial"/>
        </w:rPr>
      </w:pPr>
      <w:r w:rsidRPr="0009216C">
        <w:t xml:space="preserve">Il en ressort que le résultat n'est ni plus simple que celui que nous avons aujourd'hui, ni plus rentable pour les petites organisations. </w:t>
      </w:r>
    </w:p>
    <w:p w14:paraId="4B9CCF09" w14:textId="77777777" w:rsidR="005D74AD" w:rsidRPr="0009216C" w:rsidRDefault="005D74AD" w:rsidP="000503D2">
      <w:pPr>
        <w:spacing w:after="0"/>
      </w:pPr>
    </w:p>
    <w:p w14:paraId="7303F035" w14:textId="1FA825AD" w:rsidR="00DC20DB" w:rsidRPr="0009216C" w:rsidRDefault="00DC20DB" w:rsidP="000503D2">
      <w:pPr>
        <w:spacing w:after="0"/>
        <w:rPr>
          <w:u w:val="single"/>
        </w:rPr>
      </w:pPr>
      <w:r w:rsidRPr="0009216C">
        <w:rPr>
          <w:u w:val="single"/>
        </w:rPr>
        <w:t>Scénario 2 :</w:t>
      </w:r>
    </w:p>
    <w:p w14:paraId="377FC917" w14:textId="07262CF4" w:rsidR="004B1EEF" w:rsidRPr="0009216C" w:rsidRDefault="004B1EEF" w:rsidP="004B1EEF">
      <w:pPr>
        <w:pStyle w:val="Lijstalinea"/>
        <w:numPr>
          <w:ilvl w:val="0"/>
          <w:numId w:val="14"/>
        </w:numPr>
        <w:spacing w:after="0" w:line="257" w:lineRule="auto"/>
        <w:ind w:left="284" w:hanging="284"/>
        <w:rPr>
          <w:rFonts w:eastAsia="Arial" w:cs="Arial"/>
        </w:rPr>
      </w:pPr>
      <w:r w:rsidRPr="0009216C">
        <w:t>Sur la base de la préparation de l'audit, de la réalisation de l'audit et du rapport d'audit. La révision et la décision de certification ont été exclues (considérées comme frais généraux dans le tarif horaire).</w:t>
      </w:r>
    </w:p>
    <w:p w14:paraId="3C52547E" w14:textId="4A047396" w:rsidR="004B1EEF" w:rsidRPr="0009216C" w:rsidRDefault="001410ED" w:rsidP="004B1EEF">
      <w:pPr>
        <w:pStyle w:val="Lijstalinea"/>
        <w:numPr>
          <w:ilvl w:val="0"/>
          <w:numId w:val="14"/>
        </w:numPr>
        <w:spacing w:after="0" w:line="257" w:lineRule="auto"/>
        <w:ind w:left="284" w:hanging="284"/>
        <w:rPr>
          <w:rFonts w:eastAsia="Arial" w:cs="Arial"/>
        </w:rPr>
      </w:pPr>
      <w:r w:rsidRPr="0009216C">
        <w:t>La règle empirique (pratique) suivante a été appliquée : le temps d'audit comprend 80 % de temps d'audit effectif et 20 % de temps de préparation et de rapport.</w:t>
      </w:r>
    </w:p>
    <w:p w14:paraId="3D803725" w14:textId="77777777" w:rsidR="004B1EEF" w:rsidRPr="0009216C" w:rsidRDefault="004B1EEF" w:rsidP="004B1EEF">
      <w:pPr>
        <w:pStyle w:val="Lijstalinea"/>
        <w:numPr>
          <w:ilvl w:val="0"/>
          <w:numId w:val="14"/>
        </w:numPr>
        <w:spacing w:after="0" w:line="257" w:lineRule="auto"/>
        <w:ind w:left="284" w:hanging="284"/>
        <w:rPr>
          <w:rFonts w:eastAsia="Arial" w:cs="Arial"/>
        </w:rPr>
      </w:pPr>
      <w:r w:rsidRPr="0009216C">
        <w:lastRenderedPageBreak/>
        <w:t>Le temps de préparation/rapport est une partie fixe du temps d'audit effectif ; seul le temps d'audit effectif est variable.</w:t>
      </w:r>
    </w:p>
    <w:p w14:paraId="7AD06A51" w14:textId="77777777" w:rsidR="004B1EEF" w:rsidRPr="0009216C" w:rsidRDefault="004B1EEF" w:rsidP="004B1EEF">
      <w:pPr>
        <w:pStyle w:val="Lijstalinea"/>
        <w:numPr>
          <w:ilvl w:val="0"/>
          <w:numId w:val="14"/>
        </w:numPr>
        <w:spacing w:after="0" w:line="257" w:lineRule="auto"/>
        <w:ind w:left="284" w:hanging="284"/>
        <w:rPr>
          <w:rFonts w:eastAsia="Arial" w:cs="Arial"/>
        </w:rPr>
      </w:pPr>
      <w:r w:rsidRPr="0009216C">
        <w:t>Le temps d'audit effectif dépend du nombre d'entretiens, basé sur le nombre de personnes employées selon les fonctions racines actuelles, ainsi que du nombre de déplacements au cours de l'audit, déterminé par le nombre de projets et de filiales à visiter selon la fonction racine actuelle (projets) et l’échelonnement (filiales).</w:t>
      </w:r>
    </w:p>
    <w:p w14:paraId="288BAA80" w14:textId="77777777" w:rsidR="004B1EEF" w:rsidRPr="0009216C" w:rsidRDefault="004B1EEF" w:rsidP="004B1EEF">
      <w:pPr>
        <w:pStyle w:val="Lijstalinea"/>
        <w:numPr>
          <w:ilvl w:val="0"/>
          <w:numId w:val="14"/>
        </w:numPr>
        <w:spacing w:after="0" w:line="257" w:lineRule="auto"/>
        <w:ind w:left="284" w:hanging="284"/>
        <w:rPr>
          <w:rFonts w:eastAsia="Arial" w:cs="Arial"/>
        </w:rPr>
      </w:pPr>
      <w:r w:rsidRPr="0009216C">
        <w:t>Le nombre minimum de journées de travail reste fixé à 2.</w:t>
      </w:r>
    </w:p>
    <w:p w14:paraId="4D4B96B6" w14:textId="77777777" w:rsidR="004B1EEF" w:rsidRPr="0009216C" w:rsidRDefault="004B1EEF" w:rsidP="004B1EEF">
      <w:pPr>
        <w:pStyle w:val="Lijstalinea"/>
        <w:numPr>
          <w:ilvl w:val="0"/>
          <w:numId w:val="14"/>
        </w:numPr>
        <w:spacing w:after="0" w:line="257" w:lineRule="auto"/>
        <w:ind w:left="284" w:hanging="284"/>
        <w:rPr>
          <w:rFonts w:eastAsia="Arial" w:cs="Arial"/>
        </w:rPr>
      </w:pPr>
      <w:r w:rsidRPr="0009216C">
        <w:t>Il y aura 1 tableau d’échelonnement des journées de travail (au lieu de 2 actuellement) dans la disposition de l’échelonnement actuel pour les petites entreprises.</w:t>
      </w:r>
    </w:p>
    <w:p w14:paraId="4CCFF37B" w14:textId="76EF16D3" w:rsidR="00DC20DB" w:rsidRPr="0009216C" w:rsidRDefault="004B1EEF" w:rsidP="004B1EEF">
      <w:pPr>
        <w:pStyle w:val="Lijstalinea"/>
        <w:numPr>
          <w:ilvl w:val="0"/>
          <w:numId w:val="14"/>
        </w:numPr>
        <w:spacing w:after="0" w:line="257" w:lineRule="auto"/>
        <w:ind w:left="284" w:hanging="284"/>
        <w:rPr>
          <w:rFonts w:eastAsia="Arial" w:cs="Arial"/>
        </w:rPr>
      </w:pPr>
      <w:r w:rsidRPr="0009216C">
        <w:t>Le facteur par échelon est supprimé. Il est remplacé par un facteur par bloc. Le bloc 1 à T3 bénéficie d'un facteur 1 ; le bloc 2 T4/T5 bénéficie d'un facteur 1,5 ou 2</w:t>
      </w:r>
      <w:r w:rsidRPr="0009216C">
        <w:br/>
      </w:r>
    </w:p>
    <w:p w14:paraId="0DFF4377" w14:textId="075CC666" w:rsidR="0068096E" w:rsidRPr="0009216C" w:rsidRDefault="0066504B" w:rsidP="000503D2">
      <w:pPr>
        <w:spacing w:after="0"/>
        <w:rPr>
          <w:u w:val="single"/>
        </w:rPr>
      </w:pPr>
      <w:r w:rsidRPr="0009216C">
        <w:rPr>
          <w:u w:val="single"/>
        </w:rPr>
        <w:t>Conclusion du scénario 2 :</w:t>
      </w:r>
    </w:p>
    <w:p w14:paraId="6D51C8EA" w14:textId="332DAF63" w:rsidR="0068096E" w:rsidRPr="0009216C" w:rsidRDefault="006F6037" w:rsidP="000503D2">
      <w:pPr>
        <w:spacing w:after="0"/>
        <w:rPr>
          <w:rFonts w:eastAsia="Arial" w:cs="Arial"/>
        </w:rPr>
      </w:pPr>
      <w:r w:rsidRPr="0009216C">
        <w:t>Pour les grandes et les petites organisations, l'application des règles de calcul ci-dessus donne pratiquement le même résultat que l'utilisation du tableau de journées de travail actuel.</w:t>
      </w:r>
    </w:p>
    <w:p w14:paraId="095FB4DC" w14:textId="77777777" w:rsidR="00B70F04" w:rsidRPr="0009216C" w:rsidRDefault="00B70F04" w:rsidP="000503D2">
      <w:pPr>
        <w:spacing w:after="0"/>
      </w:pPr>
    </w:p>
    <w:p w14:paraId="08A4E456" w14:textId="63AC6D58" w:rsidR="0068096E" w:rsidRPr="0009216C" w:rsidRDefault="002E3344" w:rsidP="000503D2">
      <w:pPr>
        <w:spacing w:after="0"/>
        <w:rPr>
          <w:b/>
          <w:bCs/>
        </w:rPr>
      </w:pPr>
      <w:r w:rsidRPr="0009216C">
        <w:rPr>
          <w:b/>
        </w:rPr>
        <w:t>Conclusion générale :</w:t>
      </w:r>
    </w:p>
    <w:p w14:paraId="7F013267" w14:textId="77777777" w:rsidR="00686E58" w:rsidRPr="0009216C" w:rsidRDefault="00686E58" w:rsidP="00686E58">
      <w:pPr>
        <w:spacing w:after="0"/>
      </w:pPr>
      <w:r w:rsidRPr="0009216C">
        <w:t xml:space="preserve">L'adaptation du tableau de journées de travail sur la base des calculs effectués ne conduit pas immédiatement à une simplification. Les méthodes alternatives sont plus complexes et ne semblent pas conduire aussitôt à un meilleur résultat (plus simple, plus clair, plus convivial, plus proportionnel). </w:t>
      </w:r>
    </w:p>
    <w:p w14:paraId="73B1E009" w14:textId="7959A44E" w:rsidR="00686E58" w:rsidRPr="0009216C" w:rsidRDefault="00686E58" w:rsidP="00686E58">
      <w:pPr>
        <w:spacing w:after="0"/>
      </w:pPr>
      <w:r w:rsidRPr="0009216C">
        <w:t>Les facteurs de multiplication par échelon sont réalisables et défendables, car plus on monte dans l’échelle, plus l’on recherche de profondeur, d’étendue et de charge de preuve. Le tableau de journées de travail actuel pour les OC est donc utilisable et son application ne pose guère de problèmes dans la pratique.</w:t>
      </w:r>
    </w:p>
    <w:p w14:paraId="343620D6" w14:textId="09ECC0AB" w:rsidR="002E3344" w:rsidRPr="0009216C" w:rsidRDefault="00686E58" w:rsidP="00686E58">
      <w:pPr>
        <w:spacing w:after="0"/>
      </w:pPr>
      <w:r w:rsidRPr="0009216C">
        <w:t>La proposition est donc de laisser le tableau des journées de travail actuel en l'état.</w:t>
      </w:r>
    </w:p>
    <w:p w14:paraId="60F5FEAD" w14:textId="77777777" w:rsidR="007B60E8" w:rsidRPr="0009216C" w:rsidRDefault="007B60E8" w:rsidP="000C371A">
      <w:pPr>
        <w:spacing w:after="0"/>
        <w:rPr>
          <w:color w:val="009691"/>
        </w:rPr>
      </w:pPr>
    </w:p>
    <w:p w14:paraId="7CF392E8" w14:textId="3F19EF16" w:rsidR="000C371A" w:rsidRPr="0009216C" w:rsidRDefault="000C371A" w:rsidP="000C371A">
      <w:pPr>
        <w:spacing w:after="0"/>
        <w:rPr>
          <w:color w:val="009691"/>
        </w:rPr>
      </w:pPr>
      <w:r w:rsidRPr="0009216C">
        <w:rPr>
          <w:color w:val="009691"/>
        </w:rPr>
        <w:t>Décision :</w:t>
      </w:r>
    </w:p>
    <w:p w14:paraId="2757C3FF" w14:textId="60AB0B46" w:rsidR="000C371A" w:rsidRPr="0009216C" w:rsidRDefault="000C371A" w:rsidP="000C371A">
      <w:pPr>
        <w:spacing w:after="0"/>
      </w:pPr>
      <w:r w:rsidRPr="0009216C">
        <w:t xml:space="preserve">Le </w:t>
      </w:r>
      <w:proofErr w:type="spellStart"/>
      <w:r w:rsidRPr="0009216C">
        <w:t>CdE</w:t>
      </w:r>
      <w:proofErr w:type="spellEnd"/>
      <w:r w:rsidRPr="0009216C">
        <w:t xml:space="preserve"> de la SCL a pris la décision suivante :</w:t>
      </w:r>
    </w:p>
    <w:p w14:paraId="0A8B9613" w14:textId="5F527FD9" w:rsidR="00B462B7" w:rsidRPr="0009216C" w:rsidRDefault="00B462B7" w:rsidP="00B462B7">
      <w:pPr>
        <w:spacing w:after="0"/>
        <w:ind w:left="426" w:hanging="426"/>
      </w:pPr>
      <w:r w:rsidRPr="0009216C">
        <w:t>1.</w:t>
      </w:r>
      <w:r w:rsidRPr="0009216C">
        <w:tab/>
        <w:t>Les tableaux de journées de travail actuels restent inchangés en tant que cadre normatif pour le temps d'audit au sein de la SCL 2.0.</w:t>
      </w:r>
    </w:p>
    <w:p w14:paraId="28090AC1" w14:textId="3540CD69" w:rsidR="00B462B7" w:rsidRPr="0009216C" w:rsidRDefault="00B462B7" w:rsidP="00B462B7">
      <w:pPr>
        <w:spacing w:after="0"/>
        <w:ind w:left="426" w:hanging="426"/>
      </w:pPr>
      <w:r w:rsidRPr="0009216C">
        <w:t>2.</w:t>
      </w:r>
      <w:r w:rsidRPr="0009216C">
        <w:tab/>
        <w:t>Les systèmes de calcul alternatifs ne seront pas développés plus amplement, étant donné leur faible valeur ajoutée.</w:t>
      </w:r>
    </w:p>
    <w:p w14:paraId="339DF221" w14:textId="70AE6B34" w:rsidR="00935FE3" w:rsidRPr="0009216C" w:rsidRDefault="00B462B7" w:rsidP="00B462B7">
      <w:pPr>
        <w:spacing w:after="0"/>
        <w:ind w:left="426" w:hanging="426"/>
      </w:pPr>
      <w:r w:rsidRPr="0009216C">
        <w:t>3.</w:t>
      </w:r>
      <w:r w:rsidRPr="0009216C">
        <w:tab/>
        <w:t>Les outils permettant aux auditeurs de gérer efficacement le temps d'audit disponible seront plus précisément développés.</w:t>
      </w:r>
    </w:p>
    <w:p w14:paraId="4538DA46" w14:textId="77777777" w:rsidR="00935FE3" w:rsidRDefault="00935FE3" w:rsidP="000C371A">
      <w:pPr>
        <w:spacing w:after="0"/>
      </w:pPr>
    </w:p>
    <w:p w14:paraId="4DACC024" w14:textId="31F1B3BB" w:rsidR="00BA1167" w:rsidRDefault="00BA1167"/>
    <w:sectPr w:rsidR="00BA116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D852" w14:textId="77777777" w:rsidR="009E1206" w:rsidRDefault="009E1206" w:rsidP="00631320">
      <w:pPr>
        <w:spacing w:after="0" w:line="240" w:lineRule="auto"/>
      </w:pPr>
      <w:r>
        <w:separator/>
      </w:r>
    </w:p>
  </w:endnote>
  <w:endnote w:type="continuationSeparator" w:id="0">
    <w:p w14:paraId="624A0816" w14:textId="77777777" w:rsidR="009E1206" w:rsidRDefault="009E1206" w:rsidP="00631320">
      <w:pPr>
        <w:spacing w:after="0" w:line="240" w:lineRule="auto"/>
      </w:pPr>
      <w:r>
        <w:continuationSeparator/>
      </w:r>
    </w:p>
  </w:endnote>
  <w:endnote w:type="continuationNotice" w:id="1">
    <w:p w14:paraId="236AC0B7" w14:textId="77777777" w:rsidR="009E1206" w:rsidRDefault="009E1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6B33" w14:textId="77777777" w:rsidR="009E1206" w:rsidRDefault="009E1206" w:rsidP="00631320">
      <w:pPr>
        <w:spacing w:after="0" w:line="240" w:lineRule="auto"/>
      </w:pPr>
      <w:r>
        <w:separator/>
      </w:r>
    </w:p>
  </w:footnote>
  <w:footnote w:type="continuationSeparator" w:id="0">
    <w:p w14:paraId="6BC2F51A" w14:textId="77777777" w:rsidR="009E1206" w:rsidRDefault="009E1206" w:rsidP="00631320">
      <w:pPr>
        <w:spacing w:after="0" w:line="240" w:lineRule="auto"/>
      </w:pPr>
      <w:r>
        <w:continuationSeparator/>
      </w:r>
    </w:p>
  </w:footnote>
  <w:footnote w:type="continuationNotice" w:id="1">
    <w:p w14:paraId="468B1373" w14:textId="77777777" w:rsidR="009E1206" w:rsidRDefault="009E12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6E798F0"/>
    <w:multiLevelType w:val="hybridMultilevel"/>
    <w:tmpl w:val="4418DA44"/>
    <w:lvl w:ilvl="0" w:tplc="08F896C0">
      <w:start w:val="1"/>
      <w:numFmt w:val="bullet"/>
      <w:lvlText w:val="·"/>
      <w:lvlJc w:val="left"/>
      <w:pPr>
        <w:ind w:left="720" w:hanging="360"/>
      </w:pPr>
      <w:rPr>
        <w:rFonts w:ascii="Symbol" w:hAnsi="Symbol" w:hint="default"/>
      </w:rPr>
    </w:lvl>
    <w:lvl w:ilvl="1" w:tplc="E1EA484E">
      <w:start w:val="1"/>
      <w:numFmt w:val="bullet"/>
      <w:lvlText w:val="o"/>
      <w:lvlJc w:val="left"/>
      <w:pPr>
        <w:ind w:left="1440" w:hanging="360"/>
      </w:pPr>
      <w:rPr>
        <w:rFonts w:ascii="Courier New" w:hAnsi="Courier New" w:hint="default"/>
      </w:rPr>
    </w:lvl>
    <w:lvl w:ilvl="2" w:tplc="5704B898">
      <w:start w:val="1"/>
      <w:numFmt w:val="bullet"/>
      <w:lvlText w:val=""/>
      <w:lvlJc w:val="left"/>
      <w:pPr>
        <w:ind w:left="2160" w:hanging="360"/>
      </w:pPr>
      <w:rPr>
        <w:rFonts w:ascii="Wingdings" w:hAnsi="Wingdings" w:hint="default"/>
      </w:rPr>
    </w:lvl>
    <w:lvl w:ilvl="3" w:tplc="2A882E2E">
      <w:start w:val="1"/>
      <w:numFmt w:val="bullet"/>
      <w:lvlText w:val=""/>
      <w:lvlJc w:val="left"/>
      <w:pPr>
        <w:ind w:left="2880" w:hanging="360"/>
      </w:pPr>
      <w:rPr>
        <w:rFonts w:ascii="Symbol" w:hAnsi="Symbol" w:hint="default"/>
      </w:rPr>
    </w:lvl>
    <w:lvl w:ilvl="4" w:tplc="0C705F56">
      <w:start w:val="1"/>
      <w:numFmt w:val="bullet"/>
      <w:lvlText w:val="o"/>
      <w:lvlJc w:val="left"/>
      <w:pPr>
        <w:ind w:left="3600" w:hanging="360"/>
      </w:pPr>
      <w:rPr>
        <w:rFonts w:ascii="Courier New" w:hAnsi="Courier New" w:hint="default"/>
      </w:rPr>
    </w:lvl>
    <w:lvl w:ilvl="5" w:tplc="E650247A">
      <w:start w:val="1"/>
      <w:numFmt w:val="bullet"/>
      <w:lvlText w:val=""/>
      <w:lvlJc w:val="left"/>
      <w:pPr>
        <w:ind w:left="4320" w:hanging="360"/>
      </w:pPr>
      <w:rPr>
        <w:rFonts w:ascii="Wingdings" w:hAnsi="Wingdings" w:hint="default"/>
      </w:rPr>
    </w:lvl>
    <w:lvl w:ilvl="6" w:tplc="C4AC90E6">
      <w:start w:val="1"/>
      <w:numFmt w:val="bullet"/>
      <w:lvlText w:val=""/>
      <w:lvlJc w:val="left"/>
      <w:pPr>
        <w:ind w:left="5040" w:hanging="360"/>
      </w:pPr>
      <w:rPr>
        <w:rFonts w:ascii="Symbol" w:hAnsi="Symbol" w:hint="default"/>
      </w:rPr>
    </w:lvl>
    <w:lvl w:ilvl="7" w:tplc="64C8EA24">
      <w:start w:val="1"/>
      <w:numFmt w:val="bullet"/>
      <w:lvlText w:val="o"/>
      <w:lvlJc w:val="left"/>
      <w:pPr>
        <w:ind w:left="5760" w:hanging="360"/>
      </w:pPr>
      <w:rPr>
        <w:rFonts w:ascii="Courier New" w:hAnsi="Courier New" w:hint="default"/>
      </w:rPr>
    </w:lvl>
    <w:lvl w:ilvl="8" w:tplc="08809798">
      <w:start w:val="1"/>
      <w:numFmt w:val="bullet"/>
      <w:lvlText w:val=""/>
      <w:lvlJc w:val="left"/>
      <w:pPr>
        <w:ind w:left="6480" w:hanging="360"/>
      </w:pPr>
      <w:rPr>
        <w:rFonts w:ascii="Wingdings" w:hAnsi="Wingdings" w:hint="default"/>
      </w:rPr>
    </w:lvl>
  </w:abstractNum>
  <w:abstractNum w:abstractNumId="8"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E34AA1E"/>
    <w:multiLevelType w:val="hybridMultilevel"/>
    <w:tmpl w:val="6C8CAB4E"/>
    <w:lvl w:ilvl="0" w:tplc="519423E6">
      <w:start w:val="1"/>
      <w:numFmt w:val="bullet"/>
      <w:lvlText w:val="·"/>
      <w:lvlJc w:val="left"/>
      <w:pPr>
        <w:ind w:left="720" w:hanging="360"/>
      </w:pPr>
      <w:rPr>
        <w:rFonts w:ascii="Symbol" w:hAnsi="Symbol" w:hint="default"/>
      </w:rPr>
    </w:lvl>
    <w:lvl w:ilvl="1" w:tplc="AD1EFF7E">
      <w:start w:val="1"/>
      <w:numFmt w:val="bullet"/>
      <w:lvlText w:val="o"/>
      <w:lvlJc w:val="left"/>
      <w:pPr>
        <w:ind w:left="1440" w:hanging="360"/>
      </w:pPr>
      <w:rPr>
        <w:rFonts w:ascii="Courier New" w:hAnsi="Courier New" w:hint="default"/>
      </w:rPr>
    </w:lvl>
    <w:lvl w:ilvl="2" w:tplc="50B6CC22">
      <w:start w:val="1"/>
      <w:numFmt w:val="bullet"/>
      <w:lvlText w:val=""/>
      <w:lvlJc w:val="left"/>
      <w:pPr>
        <w:ind w:left="2160" w:hanging="360"/>
      </w:pPr>
      <w:rPr>
        <w:rFonts w:ascii="Wingdings" w:hAnsi="Wingdings" w:hint="default"/>
      </w:rPr>
    </w:lvl>
    <w:lvl w:ilvl="3" w:tplc="E236CB88">
      <w:start w:val="1"/>
      <w:numFmt w:val="bullet"/>
      <w:lvlText w:val=""/>
      <w:lvlJc w:val="left"/>
      <w:pPr>
        <w:ind w:left="2880" w:hanging="360"/>
      </w:pPr>
      <w:rPr>
        <w:rFonts w:ascii="Symbol" w:hAnsi="Symbol" w:hint="default"/>
      </w:rPr>
    </w:lvl>
    <w:lvl w:ilvl="4" w:tplc="A02C4586">
      <w:start w:val="1"/>
      <w:numFmt w:val="bullet"/>
      <w:lvlText w:val="o"/>
      <w:lvlJc w:val="left"/>
      <w:pPr>
        <w:ind w:left="3600" w:hanging="360"/>
      </w:pPr>
      <w:rPr>
        <w:rFonts w:ascii="Courier New" w:hAnsi="Courier New" w:hint="default"/>
      </w:rPr>
    </w:lvl>
    <w:lvl w:ilvl="5" w:tplc="BA9A16C0">
      <w:start w:val="1"/>
      <w:numFmt w:val="bullet"/>
      <w:lvlText w:val=""/>
      <w:lvlJc w:val="left"/>
      <w:pPr>
        <w:ind w:left="4320" w:hanging="360"/>
      </w:pPr>
      <w:rPr>
        <w:rFonts w:ascii="Wingdings" w:hAnsi="Wingdings" w:hint="default"/>
      </w:rPr>
    </w:lvl>
    <w:lvl w:ilvl="6" w:tplc="2ABA91F0">
      <w:start w:val="1"/>
      <w:numFmt w:val="bullet"/>
      <w:lvlText w:val=""/>
      <w:lvlJc w:val="left"/>
      <w:pPr>
        <w:ind w:left="5040" w:hanging="360"/>
      </w:pPr>
      <w:rPr>
        <w:rFonts w:ascii="Symbol" w:hAnsi="Symbol" w:hint="default"/>
      </w:rPr>
    </w:lvl>
    <w:lvl w:ilvl="7" w:tplc="251E529A">
      <w:start w:val="1"/>
      <w:numFmt w:val="bullet"/>
      <w:lvlText w:val="o"/>
      <w:lvlJc w:val="left"/>
      <w:pPr>
        <w:ind w:left="5760" w:hanging="360"/>
      </w:pPr>
      <w:rPr>
        <w:rFonts w:ascii="Courier New" w:hAnsi="Courier New" w:hint="default"/>
      </w:rPr>
    </w:lvl>
    <w:lvl w:ilvl="8" w:tplc="75F6C0CC">
      <w:start w:val="1"/>
      <w:numFmt w:val="bullet"/>
      <w:lvlText w:val=""/>
      <w:lvlJc w:val="left"/>
      <w:pPr>
        <w:ind w:left="6480" w:hanging="360"/>
      </w:pPr>
      <w:rPr>
        <w:rFonts w:ascii="Wingdings" w:hAnsi="Wingdings" w:hint="default"/>
      </w:rPr>
    </w:lvl>
  </w:abstractNum>
  <w:abstractNum w:abstractNumId="10"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8"/>
  </w:num>
  <w:num w:numId="2" w16cid:durableId="104277141">
    <w:abstractNumId w:val="5"/>
  </w:num>
  <w:num w:numId="3" w16cid:durableId="2037346317">
    <w:abstractNumId w:val="12"/>
  </w:num>
  <w:num w:numId="4" w16cid:durableId="1206602690">
    <w:abstractNumId w:val="2"/>
  </w:num>
  <w:num w:numId="5" w16cid:durableId="853419595">
    <w:abstractNumId w:val="1"/>
  </w:num>
  <w:num w:numId="6" w16cid:durableId="90786768">
    <w:abstractNumId w:val="4"/>
  </w:num>
  <w:num w:numId="7" w16cid:durableId="839737575">
    <w:abstractNumId w:val="10"/>
  </w:num>
  <w:num w:numId="8" w16cid:durableId="1790929813">
    <w:abstractNumId w:val="0"/>
  </w:num>
  <w:num w:numId="9" w16cid:durableId="2145347354">
    <w:abstractNumId w:val="13"/>
  </w:num>
  <w:num w:numId="10" w16cid:durableId="1896039743">
    <w:abstractNumId w:val="3"/>
  </w:num>
  <w:num w:numId="11" w16cid:durableId="83693449">
    <w:abstractNumId w:val="6"/>
  </w:num>
  <w:num w:numId="12" w16cid:durableId="741416116">
    <w:abstractNumId w:val="11"/>
  </w:num>
  <w:num w:numId="13" w16cid:durableId="1892764646">
    <w:abstractNumId w:val="7"/>
  </w:num>
  <w:num w:numId="14" w16cid:durableId="2648443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13CDB"/>
    <w:rsid w:val="00015655"/>
    <w:rsid w:val="00015D4E"/>
    <w:rsid w:val="00017B43"/>
    <w:rsid w:val="00020E1A"/>
    <w:rsid w:val="000218F0"/>
    <w:rsid w:val="000320B2"/>
    <w:rsid w:val="00035827"/>
    <w:rsid w:val="00041A42"/>
    <w:rsid w:val="00047B46"/>
    <w:rsid w:val="000503D2"/>
    <w:rsid w:val="000560FB"/>
    <w:rsid w:val="0009216C"/>
    <w:rsid w:val="000B132E"/>
    <w:rsid w:val="000B2073"/>
    <w:rsid w:val="000B2AF7"/>
    <w:rsid w:val="000B4B63"/>
    <w:rsid w:val="000C371A"/>
    <w:rsid w:val="000C6DDF"/>
    <w:rsid w:val="000D75BF"/>
    <w:rsid w:val="000F61F1"/>
    <w:rsid w:val="001125BB"/>
    <w:rsid w:val="001156E0"/>
    <w:rsid w:val="00117938"/>
    <w:rsid w:val="00117EF6"/>
    <w:rsid w:val="00121CF4"/>
    <w:rsid w:val="00122754"/>
    <w:rsid w:val="00124E94"/>
    <w:rsid w:val="00133C84"/>
    <w:rsid w:val="001358B8"/>
    <w:rsid w:val="001365BE"/>
    <w:rsid w:val="001375DA"/>
    <w:rsid w:val="001410ED"/>
    <w:rsid w:val="0014307E"/>
    <w:rsid w:val="00145091"/>
    <w:rsid w:val="00147C9B"/>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03E3"/>
    <w:rsid w:val="001E10F1"/>
    <w:rsid w:val="001E52DF"/>
    <w:rsid w:val="002007E8"/>
    <w:rsid w:val="00210D80"/>
    <w:rsid w:val="00213F52"/>
    <w:rsid w:val="00216FB0"/>
    <w:rsid w:val="00230B10"/>
    <w:rsid w:val="002333F9"/>
    <w:rsid w:val="00242995"/>
    <w:rsid w:val="002469AD"/>
    <w:rsid w:val="00247324"/>
    <w:rsid w:val="0026568A"/>
    <w:rsid w:val="002715C6"/>
    <w:rsid w:val="002747F2"/>
    <w:rsid w:val="00281DB5"/>
    <w:rsid w:val="002A5033"/>
    <w:rsid w:val="002B1DF1"/>
    <w:rsid w:val="002B2523"/>
    <w:rsid w:val="002B4145"/>
    <w:rsid w:val="002B50D3"/>
    <w:rsid w:val="002D1AA3"/>
    <w:rsid w:val="002D2FFF"/>
    <w:rsid w:val="002D4399"/>
    <w:rsid w:val="002D591F"/>
    <w:rsid w:val="002D67A9"/>
    <w:rsid w:val="002E3344"/>
    <w:rsid w:val="002E65CF"/>
    <w:rsid w:val="002F79B3"/>
    <w:rsid w:val="0030016C"/>
    <w:rsid w:val="00301D93"/>
    <w:rsid w:val="00304AD2"/>
    <w:rsid w:val="003130DA"/>
    <w:rsid w:val="00314EC2"/>
    <w:rsid w:val="00315998"/>
    <w:rsid w:val="00316648"/>
    <w:rsid w:val="00320E94"/>
    <w:rsid w:val="00344D9F"/>
    <w:rsid w:val="00346F09"/>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84957"/>
    <w:rsid w:val="004902D0"/>
    <w:rsid w:val="00491C7F"/>
    <w:rsid w:val="004A19B6"/>
    <w:rsid w:val="004A3564"/>
    <w:rsid w:val="004A6B38"/>
    <w:rsid w:val="004B1EEF"/>
    <w:rsid w:val="004B2893"/>
    <w:rsid w:val="004B52F4"/>
    <w:rsid w:val="004D1758"/>
    <w:rsid w:val="004E435A"/>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4AD"/>
    <w:rsid w:val="005D7C7D"/>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22DC"/>
    <w:rsid w:val="006335F1"/>
    <w:rsid w:val="006375EB"/>
    <w:rsid w:val="00640614"/>
    <w:rsid w:val="0065785F"/>
    <w:rsid w:val="006635C5"/>
    <w:rsid w:val="0066504B"/>
    <w:rsid w:val="00666DBF"/>
    <w:rsid w:val="0068096E"/>
    <w:rsid w:val="00686E58"/>
    <w:rsid w:val="00690C43"/>
    <w:rsid w:val="00694CF7"/>
    <w:rsid w:val="0069574A"/>
    <w:rsid w:val="00695F1D"/>
    <w:rsid w:val="006B156E"/>
    <w:rsid w:val="006D40BA"/>
    <w:rsid w:val="006D63AF"/>
    <w:rsid w:val="006E0C6E"/>
    <w:rsid w:val="006E77A4"/>
    <w:rsid w:val="006F5D74"/>
    <w:rsid w:val="006F6037"/>
    <w:rsid w:val="00701132"/>
    <w:rsid w:val="00716F56"/>
    <w:rsid w:val="007171C9"/>
    <w:rsid w:val="00724D12"/>
    <w:rsid w:val="00726712"/>
    <w:rsid w:val="00727A19"/>
    <w:rsid w:val="0074606D"/>
    <w:rsid w:val="007470EE"/>
    <w:rsid w:val="00747DC3"/>
    <w:rsid w:val="00757A7C"/>
    <w:rsid w:val="00761D9A"/>
    <w:rsid w:val="007643FD"/>
    <w:rsid w:val="0077722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302E4"/>
    <w:rsid w:val="00847DA2"/>
    <w:rsid w:val="00850F10"/>
    <w:rsid w:val="00854D48"/>
    <w:rsid w:val="00854EC6"/>
    <w:rsid w:val="00855019"/>
    <w:rsid w:val="00855E99"/>
    <w:rsid w:val="00856D6C"/>
    <w:rsid w:val="00861D95"/>
    <w:rsid w:val="0087633F"/>
    <w:rsid w:val="008775A6"/>
    <w:rsid w:val="00883105"/>
    <w:rsid w:val="00883A86"/>
    <w:rsid w:val="008903B3"/>
    <w:rsid w:val="00896D09"/>
    <w:rsid w:val="008A0D6B"/>
    <w:rsid w:val="008A3CB9"/>
    <w:rsid w:val="008A4DB0"/>
    <w:rsid w:val="008C0C4D"/>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2F21"/>
    <w:rsid w:val="009558F7"/>
    <w:rsid w:val="00955BB2"/>
    <w:rsid w:val="009649DB"/>
    <w:rsid w:val="00965F09"/>
    <w:rsid w:val="009730F3"/>
    <w:rsid w:val="00973B6F"/>
    <w:rsid w:val="009760EB"/>
    <w:rsid w:val="009960A1"/>
    <w:rsid w:val="009A1A65"/>
    <w:rsid w:val="009B5123"/>
    <w:rsid w:val="009E1206"/>
    <w:rsid w:val="009E2D5A"/>
    <w:rsid w:val="009E30A3"/>
    <w:rsid w:val="009E36C5"/>
    <w:rsid w:val="009E7713"/>
    <w:rsid w:val="009F5B66"/>
    <w:rsid w:val="009F7EC5"/>
    <w:rsid w:val="00A06B44"/>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3CCF"/>
    <w:rsid w:val="00AF47E1"/>
    <w:rsid w:val="00B01CC4"/>
    <w:rsid w:val="00B02669"/>
    <w:rsid w:val="00B12340"/>
    <w:rsid w:val="00B15B88"/>
    <w:rsid w:val="00B177DF"/>
    <w:rsid w:val="00B23120"/>
    <w:rsid w:val="00B412A4"/>
    <w:rsid w:val="00B462B7"/>
    <w:rsid w:val="00B60FF6"/>
    <w:rsid w:val="00B66612"/>
    <w:rsid w:val="00B66BF0"/>
    <w:rsid w:val="00B70F04"/>
    <w:rsid w:val="00B724F0"/>
    <w:rsid w:val="00B811AE"/>
    <w:rsid w:val="00B860CA"/>
    <w:rsid w:val="00B87072"/>
    <w:rsid w:val="00B96C8B"/>
    <w:rsid w:val="00BA1167"/>
    <w:rsid w:val="00BA22EE"/>
    <w:rsid w:val="00BA33B9"/>
    <w:rsid w:val="00BA3D1F"/>
    <w:rsid w:val="00BC3C54"/>
    <w:rsid w:val="00BC47B4"/>
    <w:rsid w:val="00BC7408"/>
    <w:rsid w:val="00BC7876"/>
    <w:rsid w:val="00BD2C1F"/>
    <w:rsid w:val="00BD65ED"/>
    <w:rsid w:val="00BE02F3"/>
    <w:rsid w:val="00BE4D4A"/>
    <w:rsid w:val="00C24B74"/>
    <w:rsid w:val="00C32B5C"/>
    <w:rsid w:val="00C45161"/>
    <w:rsid w:val="00C573CF"/>
    <w:rsid w:val="00C643FC"/>
    <w:rsid w:val="00C66B1C"/>
    <w:rsid w:val="00C756B9"/>
    <w:rsid w:val="00C76C3C"/>
    <w:rsid w:val="00CB09AF"/>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444C"/>
    <w:rsid w:val="00D85C23"/>
    <w:rsid w:val="00D913B1"/>
    <w:rsid w:val="00D92ABB"/>
    <w:rsid w:val="00D93B9E"/>
    <w:rsid w:val="00D94C5D"/>
    <w:rsid w:val="00D955E3"/>
    <w:rsid w:val="00D95D5F"/>
    <w:rsid w:val="00DA1B34"/>
    <w:rsid w:val="00DA7A8D"/>
    <w:rsid w:val="00DB0EBB"/>
    <w:rsid w:val="00DB18DD"/>
    <w:rsid w:val="00DC1711"/>
    <w:rsid w:val="00DC20DB"/>
    <w:rsid w:val="00DC66BA"/>
    <w:rsid w:val="00DD71B3"/>
    <w:rsid w:val="00DE3DC6"/>
    <w:rsid w:val="00DF6BCD"/>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342B6"/>
    <w:rsid w:val="00F4202A"/>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0E6"/>
    <w:rsid w:val="00FA3EC0"/>
    <w:rsid w:val="00FA7A56"/>
    <w:rsid w:val="00FB1295"/>
    <w:rsid w:val="00FB50CD"/>
    <w:rsid w:val="00FB6BB8"/>
    <w:rsid w:val="00FC59E6"/>
    <w:rsid w:val="00FD0073"/>
    <w:rsid w:val="00FE66CC"/>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4912999115a084fe25c4928dd63c8750">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3619fd30700acfddf1b47d18093eb12e"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377083-7AE2-42EE-812B-EE0843CB9A47}"/>
</file>

<file path=customXml/itemProps2.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3.xml><?xml version="1.0" encoding="utf-8"?>
<ds:datastoreItem xmlns:ds="http://schemas.openxmlformats.org/officeDocument/2006/customXml" ds:itemID="{AAC5806B-7968-4C07-AB5A-8B46891239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3753</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Suzanne van Gennip</cp:lastModifiedBy>
  <cp:revision>32</cp:revision>
  <dcterms:created xsi:type="dcterms:W3CDTF">2025-11-04T10:35:00Z</dcterms:created>
  <dcterms:modified xsi:type="dcterms:W3CDTF">2025-12-11T09:31:00Z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